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A6" w:rsidRPr="00D64CA6" w:rsidRDefault="00D64CA6" w:rsidP="00D64CA6">
      <w:pPr>
        <w:spacing w:after="100" w:line="270" w:lineRule="atLeast"/>
        <w:jc w:val="center"/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fr-FR"/>
        </w:rPr>
      </w:pPr>
      <w:r w:rsidRPr="00D64CA6">
        <w:rPr>
          <w:rFonts w:ascii="Verdana" w:eastAsia="Times New Roman" w:hAnsi="Verdana" w:cs="Times New Roman"/>
          <w:b/>
          <w:bCs/>
          <w:color w:val="FF0000"/>
          <w:sz w:val="28"/>
          <w:szCs w:val="28"/>
          <w:shd w:val="clear" w:color="auto" w:fill="FFFFFF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25pt;height:24.75pt">
            <v:shadow color="#868686"/>
            <v:textpath style="font-family:&quot;Arial Black&quot;;font-size:18pt;v-text-kern:t" trim="t" fitpath="t" string="programme de BOTANIQUE L2 SNV"/>
          </v:shape>
        </w:pict>
      </w:r>
    </w:p>
    <w:p w:rsidR="00D64CA6" w:rsidRDefault="00D64CA6" w:rsidP="00D64CA6">
      <w:pPr>
        <w:spacing w:after="100" w:line="270" w:lineRule="atLeast"/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shd w:val="clear" w:color="auto" w:fill="FFFFFF"/>
          <w:lang w:eastAsia="fr-FR"/>
        </w:rPr>
      </w:pPr>
    </w:p>
    <w:p w:rsidR="009C1949" w:rsidRPr="00D64CA6" w:rsidRDefault="009C1949" w:rsidP="00D64CA6">
      <w:pPr>
        <w:spacing w:after="100" w:line="270" w:lineRule="atLeast"/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shd w:val="clear" w:color="auto" w:fill="FFFFFF"/>
          <w:lang w:eastAsia="fr-FR"/>
        </w:rPr>
      </w:pPr>
      <w:r w:rsidRPr="00D64CA6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shd w:val="clear" w:color="auto" w:fill="FFFFFF"/>
          <w:lang w:eastAsia="fr-FR"/>
        </w:rPr>
        <w:t>PREMIERE PARTIE</w:t>
      </w:r>
    </w:p>
    <w:p w:rsidR="00D64CA6" w:rsidRDefault="009C1949" w:rsidP="00D64C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949">
        <w:rPr>
          <w:rFonts w:ascii="Verdana" w:eastAsia="Times New Roman" w:hAnsi="Verdana" w:cs="Times New Roman"/>
          <w:b/>
          <w:bCs/>
          <w:color w:val="008000"/>
          <w:sz w:val="18"/>
          <w:szCs w:val="18"/>
          <w:u w:val="single"/>
          <w:shd w:val="clear" w:color="auto" w:fill="FFFFFF"/>
          <w:lang w:eastAsia="fr-FR"/>
        </w:rPr>
        <w:br/>
      </w:r>
    </w:p>
    <w:p w:rsidR="00D64CA6" w:rsidRDefault="009C1949" w:rsidP="00D64CA6">
      <w:pPr>
        <w:spacing w:after="240" w:line="240" w:lineRule="auto"/>
        <w:rPr>
          <w:rFonts w:ascii="Verdana" w:eastAsia="Times New Roman" w:hAnsi="Verdana" w:cs="Times New Roman"/>
          <w:b/>
          <w:bCs/>
          <w:color w:val="008000"/>
          <w:sz w:val="18"/>
          <w:lang w:eastAsia="fr-FR"/>
        </w:rPr>
      </w:pPr>
      <w:r w:rsidRPr="00D64CA6">
        <w:rPr>
          <w:rFonts w:ascii="Arial Narrow" w:eastAsia="Times New Roman" w:hAnsi="Arial Narrow" w:cs="Arial"/>
          <w:bCs/>
          <w:sz w:val="24"/>
          <w:szCs w:val="24"/>
          <w:lang w:eastAsia="fr-FR"/>
        </w:rPr>
        <w:t>Introduction générale à la botanique</w:t>
      </w:r>
      <w:r w:rsidRPr="00D64CA6">
        <w:rPr>
          <w:rFonts w:ascii="Arial Narrow" w:eastAsia="Times New Roman" w:hAnsi="Arial Narrow" w:cs="Arial"/>
          <w:bCs/>
          <w:sz w:val="24"/>
          <w:szCs w:val="24"/>
          <w:lang w:eastAsia="fr-FR"/>
        </w:rPr>
        <w:br/>
      </w:r>
      <w:r w:rsidRPr="00D64CA6">
        <w:rPr>
          <w:rFonts w:ascii="Arial Narrow" w:eastAsia="Times New Roman" w:hAnsi="Arial Narrow" w:cs="Arial"/>
          <w:bCs/>
          <w:sz w:val="24"/>
          <w:szCs w:val="24"/>
          <w:lang w:eastAsia="fr-FR"/>
        </w:rPr>
        <w:br/>
        <w:t>Définition,</w:t>
      </w:r>
      <w:r w:rsidRPr="00D64CA6">
        <w:rPr>
          <w:rFonts w:ascii="Arial Narrow" w:eastAsia="Times New Roman" w:hAnsi="Arial Narrow" w:cs="Arial"/>
          <w:bCs/>
          <w:sz w:val="24"/>
          <w:szCs w:val="24"/>
          <w:lang w:eastAsia="fr-FR"/>
        </w:rPr>
        <w:br/>
        <w:t>notion et concepts en classification et systématique des grands groupes</w:t>
      </w:r>
      <w:r w:rsidRPr="00D64CA6">
        <w:rPr>
          <w:rFonts w:ascii="Arial Narrow" w:eastAsia="Times New Roman" w:hAnsi="Arial Narrow" w:cs="Arial"/>
          <w:bCs/>
          <w:sz w:val="24"/>
          <w:szCs w:val="24"/>
          <w:lang w:eastAsia="fr-FR"/>
        </w:rPr>
        <w:br/>
        <w:t>du régne végétal et critères de classification</w:t>
      </w:r>
      <w:r w:rsidRPr="00D64CA6">
        <w:rPr>
          <w:rFonts w:ascii="Arial Narrow" w:eastAsia="Times New Roman" w:hAnsi="Arial Narrow" w:cs="Arial"/>
          <w:bCs/>
          <w:sz w:val="24"/>
          <w:szCs w:val="24"/>
          <w:lang w:eastAsia="fr-FR"/>
        </w:rPr>
        <w:br/>
      </w:r>
      <w:r w:rsidRPr="00D64CA6">
        <w:rPr>
          <w:rFonts w:ascii="Arial Narrow" w:eastAsia="Times New Roman" w:hAnsi="Arial Narrow" w:cs="Times New Roman"/>
          <w:b/>
          <w:bCs/>
          <w:color w:val="008000"/>
          <w:sz w:val="18"/>
          <w:szCs w:val="18"/>
          <w:lang w:eastAsia="fr-FR"/>
        </w:rPr>
        <w:br/>
      </w:r>
      <w:r w:rsidRPr="00D64CA6">
        <w:rPr>
          <w:rFonts w:ascii="Verdana" w:eastAsia="Times New Roman" w:hAnsi="Verdana" w:cs="Times New Roman"/>
          <w:b/>
          <w:bCs/>
          <w:i/>
          <w:color w:val="1F497D" w:themeColor="text2"/>
          <w:sz w:val="28"/>
          <w:szCs w:val="28"/>
          <w:u w:val="single"/>
          <w:lang w:eastAsia="fr-FR"/>
        </w:rPr>
        <w:t>A. Les Algues</w:t>
      </w:r>
      <w:r w:rsidRPr="009C1949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</w:p>
    <w:p w:rsidR="00D64CA6" w:rsidRDefault="009C1949" w:rsidP="00D64CA6">
      <w:pPr>
        <w:spacing w:after="24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t>1. Morphologie et évolution des thalles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  <w:t>2. caractères cytologiques (paroi, structure et évolution des plastes)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  <w:t>3. Reproduction: notion de gamie, cycle de développement (mono, di, tri génétique)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  <w:t>4. Systématique et particularité des principaux groupes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 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les algues procaryotes : cyanoschisophytes-cyanobactéries)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les algues eucaryotes : phycophytes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Les rhodophycophytes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les chromophycopohytes (pyrro-chryso-eugleno-phéo)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les chlorophycophytes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les charophycophytes</w:t>
      </w:r>
      <w:r w:rsidRPr="00D64CA6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br/>
      </w:r>
      <w:r w:rsidRPr="009C1949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  <w:r w:rsidRPr="00D64CA6">
        <w:rPr>
          <w:rFonts w:ascii="Verdana" w:eastAsia="Times New Roman" w:hAnsi="Verdana" w:cs="Times New Roman"/>
          <w:b/>
          <w:bCs/>
          <w:i/>
          <w:color w:val="1F497D" w:themeColor="text2"/>
          <w:sz w:val="28"/>
          <w:szCs w:val="28"/>
          <w:u w:val="single"/>
          <w:lang w:eastAsia="fr-FR"/>
        </w:rPr>
        <w:t>B. Les champignons &amp; lichens</w:t>
      </w:r>
      <w:r w:rsidRPr="009C1949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  <w:r w:rsidRPr="009C1949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t>1. Problèmes posés par la classification des champignons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  <w:t>2. Structure des thalles (myceliums, stroma, sclérote...)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  <w:t>3. Reproduction asexuée (arhrospores, chlamydospores, conidies) et sexuée (types de plasmogamies...)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Myxomycetes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Phycomycétes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Trichomycétes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Ascomycétes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Basidiomycétes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Zygomycetes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t>4. Une association particulière algue-champignon : les lichens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structure, reproduction et classification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</w:r>
      <w:r w:rsidRPr="009C1949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  <w:r w:rsidRPr="00D64CA6">
        <w:rPr>
          <w:rFonts w:ascii="Verdana" w:eastAsia="Times New Roman" w:hAnsi="Verdana" w:cs="Times New Roman"/>
          <w:b/>
          <w:bCs/>
          <w:i/>
          <w:color w:val="1F497D" w:themeColor="text2"/>
          <w:sz w:val="28"/>
          <w:szCs w:val="28"/>
          <w:u w:val="single"/>
          <w:lang w:eastAsia="fr-FR"/>
        </w:rPr>
        <w:t>C. Les Bryophytes</w:t>
      </w:r>
      <w:r w:rsidRPr="009C1949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  <w:r w:rsidRPr="009C1949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lastRenderedPageBreak/>
        <w:t>1. Etudes comparées de morphologie et de reproduction dans les différentes classes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Mousses (structure de lacapsules dans les différents ordres)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Hépatiques (évolution régressive des marchantiales)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Anthocérotes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</w:r>
      <w:r w:rsidRPr="009C1949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  <w:r w:rsidRPr="009C1949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  <w:r w:rsidRPr="00D64CA6">
        <w:rPr>
          <w:rFonts w:ascii="Verdana" w:eastAsia="Times New Roman" w:hAnsi="Verdana" w:cs="Times New Roman"/>
          <w:b/>
          <w:bCs/>
          <w:i/>
          <w:color w:val="1F497D" w:themeColor="text2"/>
          <w:sz w:val="28"/>
          <w:szCs w:val="28"/>
          <w:u w:val="single"/>
          <w:lang w:eastAsia="fr-FR"/>
        </w:rPr>
        <w:t>D. Les Pteridophytes</w:t>
      </w:r>
      <w:r w:rsidRPr="009C1949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  <w:r w:rsidRPr="009C1949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t>1. Généralités sur les caractères morphologiques et anatomiques particuliers des 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  <w:t>ptéridiphytes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  <w:t>2. Importance évolutive de la reproduction : notions d'endoprothallie hétérosporie et réduction de la phase gamétophytique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  <w:t>3. Systématique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</w:r>
    </w:p>
    <w:p w:rsidR="009C1949" w:rsidRPr="00D64CA6" w:rsidRDefault="009C1949" w:rsidP="00D64CA6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- Psilophytinées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lycopodinées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Equisetinées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Filininées</w:t>
      </w:r>
    </w:p>
    <w:p w:rsidR="009C1949" w:rsidRPr="009C1949" w:rsidRDefault="009C1949" w:rsidP="00D64CA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shd w:val="clear" w:color="auto" w:fill="FFFFFF"/>
          <w:lang w:eastAsia="fr-FR"/>
        </w:rPr>
      </w:pPr>
      <w:r w:rsidRPr="009C194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9C1949">
        <w:rPr>
          <w:rFonts w:ascii="Verdana" w:eastAsia="Times New Roman" w:hAnsi="Verdana" w:cs="Times New Roman"/>
          <w:b/>
          <w:bCs/>
          <w:color w:val="008000"/>
          <w:sz w:val="18"/>
          <w:szCs w:val="18"/>
          <w:shd w:val="clear" w:color="auto" w:fill="FFFFFF"/>
          <w:lang w:eastAsia="fr-FR"/>
        </w:rPr>
        <w:br/>
      </w:r>
      <w:r w:rsidRPr="009C1949">
        <w:rPr>
          <w:rFonts w:ascii="Verdana" w:eastAsia="Times New Roman" w:hAnsi="Verdana" w:cs="Times New Roman"/>
          <w:b/>
          <w:bCs/>
          <w:color w:val="008000"/>
          <w:sz w:val="18"/>
          <w:szCs w:val="18"/>
          <w:shd w:val="clear" w:color="auto" w:fill="FFFFFF"/>
          <w:lang w:eastAsia="fr-FR"/>
        </w:rPr>
        <w:br/>
      </w:r>
      <w:r w:rsidRPr="009C1949">
        <w:rPr>
          <w:rFonts w:ascii="Verdana" w:eastAsia="Times New Roman" w:hAnsi="Verdana" w:cs="Times New Roman"/>
          <w:b/>
          <w:bCs/>
          <w:color w:val="008000"/>
          <w:sz w:val="18"/>
          <w:u w:val="single"/>
          <w:lang w:eastAsia="fr-FR"/>
        </w:rPr>
        <w:t>·</w:t>
      </w:r>
    </w:p>
    <w:p w:rsidR="009C1949" w:rsidRPr="00D64CA6" w:rsidRDefault="009C1949" w:rsidP="00D64CA6">
      <w:pPr>
        <w:spacing w:after="100" w:line="270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fr-FR"/>
        </w:rPr>
      </w:pPr>
      <w:r w:rsidRPr="00D64CA6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shd w:val="clear" w:color="auto" w:fill="FFFFFF"/>
          <w:lang w:eastAsia="fr-FR"/>
        </w:rPr>
        <w:t>DEUXIEME PARTIE</w:t>
      </w:r>
    </w:p>
    <w:p w:rsidR="009C1949" w:rsidRPr="009C1949" w:rsidRDefault="009C1949" w:rsidP="00D64C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949">
        <w:rPr>
          <w:rFonts w:ascii="Verdana" w:eastAsia="Times New Roman" w:hAnsi="Verdana" w:cs="Times New Roman"/>
          <w:b/>
          <w:bCs/>
          <w:color w:val="008000"/>
          <w:sz w:val="18"/>
          <w:szCs w:val="18"/>
          <w:u w:val="single"/>
          <w:shd w:val="clear" w:color="auto" w:fill="FFFFFF"/>
          <w:lang w:eastAsia="fr-FR"/>
        </w:rPr>
        <w:br/>
      </w:r>
    </w:p>
    <w:p w:rsidR="00D64CA6" w:rsidRDefault="009C1949" w:rsidP="00D64CA6">
      <w:pPr>
        <w:shd w:val="clear" w:color="auto" w:fill="FFFFFF"/>
        <w:spacing w:after="100" w:line="270" w:lineRule="atLeast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D64CA6">
        <w:rPr>
          <w:rFonts w:ascii="Verdana" w:eastAsia="Times New Roman" w:hAnsi="Verdana" w:cs="Times New Roman"/>
          <w:b/>
          <w:bCs/>
          <w:i/>
          <w:color w:val="1F497D" w:themeColor="text2"/>
          <w:sz w:val="28"/>
          <w:szCs w:val="28"/>
          <w:u w:val="single"/>
          <w:lang w:eastAsia="fr-FR"/>
        </w:rPr>
        <w:t>E. Les Phanérogames ou Spermaphytes</w:t>
      </w:r>
      <w:r w:rsidRPr="009C1949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  <w:r w:rsidRPr="009C1949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fr-FR"/>
        </w:rPr>
        <w:br/>
      </w:r>
      <w:r w:rsidRPr="00D64CA6"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fr-FR"/>
        </w:rPr>
        <w:t>I. Les prephanerogames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</w:r>
    </w:p>
    <w:p w:rsidR="00D64CA6" w:rsidRDefault="009C1949" w:rsidP="00D64CA6">
      <w:pPr>
        <w:shd w:val="clear" w:color="auto" w:fill="FFFFFF"/>
        <w:spacing w:after="100" w:line="270" w:lineRule="atLeast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t>1. Importance des préphanérogames du point de vue évolutif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  <w:t>2. Reproduction (notion d'ovule)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  <w:t>3. Systématique :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Pteridospermes (caytoniales, cycadales)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Cordaites (cordaitales, ginkgoales)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</w:r>
      <w:r w:rsidRPr="00D64CA6"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fr-FR"/>
        </w:rPr>
        <w:t>II. Les Gymnospermes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</w:r>
    </w:p>
    <w:p w:rsidR="009C1949" w:rsidRPr="00D64CA6" w:rsidRDefault="009C1949" w:rsidP="00D64CA6">
      <w:pPr>
        <w:shd w:val="clear" w:color="auto" w:fill="FFFFFF"/>
        <w:spacing w:after="100" w:line="270" w:lineRule="atLeast"/>
        <w:rPr>
          <w:rFonts w:ascii="Arial Narrow" w:eastAsia="Times New Roman" w:hAnsi="Arial Narrow" w:cs="Times New Roman"/>
          <w:sz w:val="24"/>
          <w:szCs w:val="24"/>
          <w:u w:val="thick"/>
          <w:lang w:eastAsia="fr-FR"/>
        </w:rPr>
      </w:pP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t>1. Caractères morphologiques, anatomiques et chimiotaxonomiques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  <w:t>2. Reproduction (notion de fleur, d'inflorescence et de graine)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  <w:t>3. systématique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  <w:t>- pinales, araucariales, podocarpales, cupressales, taxales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  <w:t>4. Un groupe charnière : les chlamydospermes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  <w:t>- ephedrales, welwitshiales, gnetales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</w:r>
      <w:r w:rsidRPr="00D64CA6"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fr-FR"/>
        </w:rPr>
        <w:lastRenderedPageBreak/>
        <w:t>III. Les Angiospermes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Morphologie externe : 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t>a. Appareil végétatif et notion de morphogénèse: croissance et des tiges, 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  <w:t>feuilles et racines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  <w:t>b. Morphologie et florale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- organisation de la fleur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- les inflorescences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t>c. Biologie florale:microsporogénèse, macrosporogénèse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  <w:t>d. Graines et fruits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  <w:t>e. Introduction: notion de systématique moderne</w:t>
      </w:r>
      <w:r w:rsidRPr="00D64CA6">
        <w:rPr>
          <w:rFonts w:ascii="Arial Narrow" w:eastAsia="Times New Roman" w:hAnsi="Arial Narrow" w:cs="Times New Roman"/>
          <w:bCs/>
          <w:sz w:val="24"/>
          <w:szCs w:val="24"/>
          <w:u w:val="thick"/>
          <w:lang w:eastAsia="fr-FR"/>
        </w:rPr>
        <w:br/>
        <w:t>(biosystématique) cladogénèse et phylogénèse (snea</w:t>
      </w:r>
    </w:p>
    <w:p w:rsidR="00D5226C" w:rsidRPr="00D64CA6" w:rsidRDefault="00D64CA6" w:rsidP="00D64CA6">
      <w:pPr>
        <w:rPr>
          <w:rFonts w:ascii="Arial Narrow" w:hAnsi="Arial Narrow"/>
          <w:sz w:val="24"/>
          <w:szCs w:val="24"/>
        </w:rPr>
      </w:pPr>
    </w:p>
    <w:sectPr w:rsidR="00D5226C" w:rsidRPr="00D64CA6" w:rsidSect="0053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1949"/>
    <w:rsid w:val="0010683B"/>
    <w:rsid w:val="00530C9E"/>
    <w:rsid w:val="00953480"/>
    <w:rsid w:val="009C1949"/>
    <w:rsid w:val="00D64CA6"/>
    <w:rsid w:val="00F2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C1949"/>
    <w:rPr>
      <w:b/>
      <w:bCs/>
    </w:rPr>
  </w:style>
  <w:style w:type="character" w:customStyle="1" w:styleId="apple-converted-space">
    <w:name w:val="apple-converted-space"/>
    <w:basedOn w:val="Policepardfaut"/>
    <w:rsid w:val="009C1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409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Dell</cp:lastModifiedBy>
  <cp:revision>2</cp:revision>
  <dcterms:created xsi:type="dcterms:W3CDTF">2012-06-01T15:13:00Z</dcterms:created>
  <dcterms:modified xsi:type="dcterms:W3CDTF">2012-07-25T12:47:00Z</dcterms:modified>
</cp:coreProperties>
</file>